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6132BF">
        <w:rPr>
          <w:rFonts w:ascii="Times New Roman" w:hAnsi="Times New Roman" w:cs="Times New Roman"/>
          <w:u w:val="single"/>
        </w:rPr>
        <w:t>Муниципальное бюджетное дошкольное образовательное учреждение Киевский детский сад «Тополек»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6132BF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6132BF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6132BF" w:rsidRPr="00DD401F" w:rsidRDefault="006132B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6132BF" w:rsidRPr="00DD401F" w:rsidTr="000F3552">
        <w:trPr>
          <w:trHeight w:val="20"/>
        </w:trPr>
        <w:tc>
          <w:tcPr>
            <w:tcW w:w="15615" w:type="dxa"/>
            <w:gridSpan w:val="7"/>
          </w:tcPr>
          <w:p w:rsidR="006132BF" w:rsidRPr="006132BF" w:rsidRDefault="006132BF" w:rsidP="006132BF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132BF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6132BF" w:rsidRPr="00DD401F" w:rsidTr="005D204B">
        <w:trPr>
          <w:trHeight w:val="20"/>
        </w:trPr>
        <w:tc>
          <w:tcPr>
            <w:tcW w:w="42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(97%)</w:t>
            </w: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2BF" w:rsidRPr="00DD401F" w:rsidTr="00CA5644">
        <w:trPr>
          <w:trHeight w:val="20"/>
        </w:trPr>
        <w:tc>
          <w:tcPr>
            <w:tcW w:w="15615" w:type="dxa"/>
            <w:gridSpan w:val="7"/>
          </w:tcPr>
          <w:p w:rsidR="006132BF" w:rsidRPr="006132BF" w:rsidRDefault="006132BF" w:rsidP="006132BF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132BF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6132BF" w:rsidRPr="00DD401F" w:rsidTr="005D204B">
        <w:trPr>
          <w:trHeight w:val="20"/>
        </w:trPr>
        <w:tc>
          <w:tcPr>
            <w:tcW w:w="42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(94%)</w:t>
            </w: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2BF" w:rsidRPr="00DD401F" w:rsidTr="002E771C">
        <w:trPr>
          <w:trHeight w:val="20"/>
        </w:trPr>
        <w:tc>
          <w:tcPr>
            <w:tcW w:w="15615" w:type="dxa"/>
            <w:gridSpan w:val="7"/>
          </w:tcPr>
          <w:p w:rsidR="006132BF" w:rsidRPr="006132BF" w:rsidRDefault="006132BF" w:rsidP="006132BF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132BF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6132BF" w:rsidRPr="00DD401F" w:rsidTr="005D204B">
        <w:trPr>
          <w:trHeight w:val="20"/>
        </w:trPr>
        <w:tc>
          <w:tcPr>
            <w:tcW w:w="42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оборудование входных групп пандусами (подъемными платформами)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оборудование входных групп пандусами (подъемными платформами)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2BF" w:rsidRPr="00DD401F" w:rsidTr="005D204B">
        <w:trPr>
          <w:trHeight w:val="20"/>
        </w:trPr>
        <w:tc>
          <w:tcPr>
            <w:tcW w:w="42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147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2BF" w:rsidRPr="00DD401F" w:rsidTr="003375A8">
        <w:trPr>
          <w:trHeight w:val="20"/>
        </w:trPr>
        <w:tc>
          <w:tcPr>
            <w:tcW w:w="15615" w:type="dxa"/>
            <w:gridSpan w:val="7"/>
          </w:tcPr>
          <w:p w:rsidR="006132BF" w:rsidRPr="006132BF" w:rsidRDefault="006132BF" w:rsidP="006132BF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132BF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6132BF" w:rsidRPr="00DD401F" w:rsidTr="005D204B">
        <w:trPr>
          <w:trHeight w:val="20"/>
        </w:trPr>
        <w:tc>
          <w:tcPr>
            <w:tcW w:w="42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Недостатки по критерию не выявлены</w:t>
            </w:r>
          </w:p>
        </w:tc>
        <w:tc>
          <w:tcPr>
            <w:tcW w:w="4139" w:type="dxa"/>
          </w:tcPr>
          <w:p w:rsidR="006132BF" w:rsidRPr="00DD401F" w:rsidRDefault="006132BF" w:rsidP="006132BF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147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2BF" w:rsidRPr="00DD401F" w:rsidTr="00A72E24">
        <w:trPr>
          <w:trHeight w:val="20"/>
        </w:trPr>
        <w:tc>
          <w:tcPr>
            <w:tcW w:w="15615" w:type="dxa"/>
            <w:gridSpan w:val="7"/>
          </w:tcPr>
          <w:p w:rsidR="006132BF" w:rsidRPr="006132BF" w:rsidRDefault="006132BF" w:rsidP="006132BF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132BF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6132BF" w:rsidRPr="00DD401F" w:rsidTr="005D204B">
        <w:trPr>
          <w:trHeight w:val="20"/>
        </w:trPr>
        <w:tc>
          <w:tcPr>
            <w:tcW w:w="42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(94%)</w:t>
            </w:r>
          </w:p>
        </w:tc>
        <w:tc>
          <w:tcPr>
            <w:tcW w:w="4139" w:type="dxa"/>
          </w:tcPr>
          <w:p w:rsidR="006132BF" w:rsidRPr="00DD401F" w:rsidRDefault="006132B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132BF" w:rsidRPr="00DD401F" w:rsidRDefault="006132B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132BF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2023-10-13T11:34:00Z</dcterms:modified>
</cp:coreProperties>
</file>